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КАМАЗ-55102 С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